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DF4FEB5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r w:rsidRPr="008E49E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="009B348A">
        <w:rPr>
          <w:i w:val="0"/>
          <w:sz w:val="23"/>
          <w:szCs w:val="23"/>
        </w:rPr>
        <w:t>9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52F3CB90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423430">
        <w:rPr>
          <w:sz w:val="23"/>
          <w:szCs w:val="23"/>
        </w:rPr>
        <w:t>114</w:t>
      </w:r>
      <w:r w:rsidR="00A25F8D" w:rsidRPr="008E49E5">
        <w:rPr>
          <w:sz w:val="23"/>
          <w:szCs w:val="23"/>
        </w:rPr>
        <w:t xml:space="preserve"> от 01.04.202</w:t>
      </w:r>
      <w:r w:rsidR="00423430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оформденных в установленном </w:t>
      </w:r>
      <w:r w:rsidRPr="008E49E5">
        <w:rPr>
          <w:sz w:val="22"/>
          <w:szCs w:val="22"/>
        </w:rPr>
        <w:lastRenderedPageBreak/>
        <w:t>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F324A"/>
    <w:rsid w:val="00423430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7103</Words>
  <Characters>40490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17</cp:revision>
  <dcterms:created xsi:type="dcterms:W3CDTF">2021-09-22T08:09:00Z</dcterms:created>
  <dcterms:modified xsi:type="dcterms:W3CDTF">2023-07-05T05:37:00Z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