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321AF1">
        <w:rPr>
          <w:rFonts w:ascii="Times New Roman" w:eastAsia="Times New Roman" w:hAnsi="Times New Roman" w:cs="Times New Roman"/>
          <w:b/>
          <w:i/>
          <w:lang w:eastAsia="ar-SA"/>
        </w:rPr>
        <w:t>7</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DF7D7C">
        <w:rPr>
          <w:b w:val="0"/>
          <w:i w:val="0"/>
          <w:color w:val="auto"/>
        </w:rPr>
        <w:t>Ростехнадзора</w:t>
      </w:r>
      <w:proofErr w:type="spellEnd"/>
      <w:r w:rsidRPr="00DF7D7C">
        <w:rPr>
          <w:b w:val="0"/>
          <w:i w:val="0"/>
          <w:color w:val="auto"/>
        </w:rPr>
        <w:t xml:space="preserve"> от 26.11.2020 N 461</w:t>
      </w:r>
      <w:r w:rsidR="00E44930" w:rsidRPr="00DF7D7C">
        <w:rPr>
          <w:b w:val="0"/>
          <w:i w:val="0"/>
          <w:color w:val="auto"/>
        </w:rPr>
        <w:t>;</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rsidR="00E44930" w:rsidRPr="00321AF1" w:rsidRDefault="00321AF1" w:rsidP="00E44930">
      <w:pPr>
        <w:pStyle w:val="aa"/>
        <w:numPr>
          <w:ilvl w:val="0"/>
          <w:numId w:val="1"/>
        </w:numPr>
        <w:tabs>
          <w:tab w:val="left" w:pos="851"/>
        </w:tabs>
        <w:ind w:left="851" w:hanging="567"/>
        <w:rPr>
          <w:b w:val="0"/>
          <w:i w:val="0"/>
          <w:color w:val="auto"/>
        </w:rPr>
      </w:pPr>
      <w:r w:rsidRPr="00321AF1">
        <w:rPr>
          <w:b w:val="0"/>
          <w:i w:val="0"/>
          <w:color w:val="auto"/>
        </w:rPr>
        <w:t xml:space="preserve">Правила по охране труда при работе на высоте (утв. Приказом Минтруда России от </w:t>
      </w:r>
      <w:bookmarkStart w:id="6" w:name="_GoBack"/>
      <w:bookmarkEnd w:id="6"/>
      <w:r w:rsidRPr="00321AF1">
        <w:rPr>
          <w:b w:val="0"/>
          <w:i w:val="0"/>
          <w:color w:val="auto"/>
        </w:rPr>
        <w:t>16.11.2020г. №782н)</w:t>
      </w:r>
      <w:r w:rsidR="00E44930" w:rsidRPr="00321AF1">
        <w:rPr>
          <w:b w:val="0"/>
          <w:i w:val="0"/>
          <w:color w:val="auto"/>
        </w:rPr>
        <w:t>;</w:t>
      </w:r>
    </w:p>
    <w:p w:rsidR="00E44930" w:rsidRPr="00321AF1" w:rsidRDefault="00E44930" w:rsidP="005D105E">
      <w:pPr>
        <w:pStyle w:val="aa"/>
        <w:numPr>
          <w:ilvl w:val="0"/>
          <w:numId w:val="1"/>
        </w:numPr>
        <w:tabs>
          <w:tab w:val="left" w:pos="851"/>
        </w:tabs>
        <w:ind w:left="851" w:hanging="567"/>
        <w:rPr>
          <w:b w:val="0"/>
          <w:i w:val="0"/>
          <w:color w:val="auto"/>
        </w:rPr>
      </w:pPr>
      <w:r w:rsidRPr="00321AF1">
        <w:rPr>
          <w:b w:val="0"/>
          <w:i w:val="0"/>
          <w:color w:val="auto"/>
        </w:rPr>
        <w:t xml:space="preserve">Инструкция о пропускном и </w:t>
      </w:r>
      <w:proofErr w:type="spellStart"/>
      <w:r w:rsidRPr="00321AF1">
        <w:rPr>
          <w:b w:val="0"/>
          <w:i w:val="0"/>
          <w:color w:val="auto"/>
        </w:rPr>
        <w:t>внутриобъектовом</w:t>
      </w:r>
      <w:proofErr w:type="spellEnd"/>
      <w:r w:rsidRPr="00321AF1">
        <w:rPr>
          <w:b w:val="0"/>
          <w:i w:val="0"/>
          <w:color w:val="auto"/>
        </w:rPr>
        <w:t xml:space="preserve"> ре</w:t>
      </w:r>
      <w:r w:rsidR="00321AF1">
        <w:rPr>
          <w:b w:val="0"/>
          <w:i w:val="0"/>
          <w:color w:val="auto"/>
        </w:rPr>
        <w:t>жимах на предприятиях Заказчика</w:t>
      </w:r>
      <w:r w:rsidRPr="00321AF1">
        <w:rPr>
          <w:b w:val="0"/>
          <w:i w:val="0"/>
          <w:color w:val="auto"/>
        </w:rPr>
        <w:t>.</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proofErr w:type="spellStart"/>
            <w:r w:rsidRPr="00FA19EC">
              <w:rPr>
                <w:rFonts w:ascii="Times New Roman" w:eastAsia="Times New Roman" w:hAnsi="Times New Roman" w:cs="Times New Roman"/>
                <w:bCs/>
                <w:sz w:val="20"/>
                <w:szCs w:val="20"/>
                <w:lang w:eastAsia="ru-RU"/>
              </w:rPr>
              <w:t>Н.А.Бобровников</w:t>
            </w:r>
            <w:proofErr w:type="spellEnd"/>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F1" w:rsidRDefault="00D40BF1" w:rsidP="000A2717">
      <w:pPr>
        <w:spacing w:after="0" w:line="240" w:lineRule="auto"/>
      </w:pPr>
      <w:r>
        <w:separator/>
      </w:r>
    </w:p>
  </w:endnote>
  <w:endnote w:type="continuationSeparator" w:id="0">
    <w:p w:rsidR="00D40BF1" w:rsidRDefault="00D40BF1"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21AF1">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F1" w:rsidRDefault="00D40BF1" w:rsidP="000A2717">
      <w:pPr>
        <w:spacing w:after="0" w:line="240" w:lineRule="auto"/>
      </w:pPr>
      <w:r>
        <w:separator/>
      </w:r>
    </w:p>
  </w:footnote>
  <w:footnote w:type="continuationSeparator" w:id="0">
    <w:p w:rsidR="00D40BF1" w:rsidRDefault="00D40BF1"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21AF1"/>
    <w:rsid w:val="003377EA"/>
    <w:rsid w:val="006926B5"/>
    <w:rsid w:val="006A67F6"/>
    <w:rsid w:val="007119D8"/>
    <w:rsid w:val="007E704D"/>
    <w:rsid w:val="00803D39"/>
    <w:rsid w:val="0081130E"/>
    <w:rsid w:val="0087224C"/>
    <w:rsid w:val="008C5EC3"/>
    <w:rsid w:val="008E1C74"/>
    <w:rsid w:val="00931F75"/>
    <w:rsid w:val="009A64BB"/>
    <w:rsid w:val="00A10419"/>
    <w:rsid w:val="00B200EB"/>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2467A"/>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D8664-FA55-415D-8925-B3D1C42C2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286</Words>
  <Characters>1632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23</cp:revision>
  <dcterms:created xsi:type="dcterms:W3CDTF">2019-04-11T07:00:00Z</dcterms:created>
  <dcterms:modified xsi:type="dcterms:W3CDTF">2023-08-17T01:44:00Z</dcterms:modified>
</cp:coreProperties>
</file>